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5334" w14:textId="77777777" w:rsidR="005E66C6" w:rsidRPr="00714A7C" w:rsidRDefault="005E66C6" w:rsidP="005E66C6">
      <w:pPr>
        <w:spacing w:line="300" w:lineRule="exact"/>
        <w:ind w:firstLine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>План формирования грузовых поездов на 2022/2023 год</w:t>
      </w:r>
    </w:p>
    <w:p w14:paraId="4800BB8C" w14:textId="77777777" w:rsidR="005E66C6" w:rsidRPr="00714A7C" w:rsidRDefault="005E66C6" w:rsidP="005E66C6">
      <w:pPr>
        <w:spacing w:line="300" w:lineRule="exact"/>
        <w:ind w:firstLine="540"/>
        <w:jc w:val="right"/>
        <w:rPr>
          <w:rFonts w:asciiTheme="minorHAnsi" w:hAnsiTheme="minorHAnsi" w:cstheme="minorHAnsi"/>
          <w:sz w:val="22"/>
          <w:szCs w:val="22"/>
        </w:rPr>
      </w:pPr>
    </w:p>
    <w:p w14:paraId="5F27B28A" w14:textId="77777777" w:rsidR="005E66C6" w:rsidRPr="00714A7C" w:rsidRDefault="005E66C6" w:rsidP="005E66C6">
      <w:pPr>
        <w:spacing w:line="300" w:lineRule="exact"/>
        <w:ind w:firstLine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>Порядок организации вагонопотоков</w:t>
      </w:r>
    </w:p>
    <w:p w14:paraId="10F93951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18A274" w14:textId="77777777" w:rsidR="005E66C6" w:rsidRPr="00714A7C" w:rsidRDefault="005E66C6" w:rsidP="005E66C6">
      <w:pPr>
        <w:spacing w:line="300" w:lineRule="exact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Организация и порядок направления вагонопотоков являются важнейшей технологической задачей эксплуатационной работы железнодорожного транспорта. Организация вагонопотоков в поезда должна обеспечивать устойчивое положение железных дорог на рынке транспортных услуг, минимальные расходы на перевозки, соблюдение нормативных сроков доставки грузов, а также запросы грузоотправителей и грузополучателей.</w:t>
      </w:r>
    </w:p>
    <w:p w14:paraId="001D27AB" w14:textId="77777777" w:rsidR="005E66C6" w:rsidRPr="00714A7C" w:rsidRDefault="005E66C6" w:rsidP="005E66C6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877155" w14:textId="77777777" w:rsidR="005E66C6" w:rsidRPr="00714A7C" w:rsidRDefault="005E66C6" w:rsidP="005E66C6">
      <w:pPr>
        <w:spacing w:line="300" w:lineRule="exact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13BC25" w14:textId="77777777" w:rsidR="005E66C6" w:rsidRPr="00714A7C" w:rsidRDefault="005E66C6" w:rsidP="005E66C6">
      <w:pPr>
        <w:spacing w:line="300" w:lineRule="exact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>1. Классификация грузовых поездов.</w:t>
      </w:r>
    </w:p>
    <w:p w14:paraId="7C25BFD0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1.1. Грузовые поезда классифицируют по:</w:t>
      </w:r>
    </w:p>
    <w:p w14:paraId="4F3C8FBD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условиям формирования;</w:t>
      </w:r>
    </w:p>
    <w:p w14:paraId="61632531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условиям проследования до станций назначения;</w:t>
      </w:r>
    </w:p>
    <w:p w14:paraId="3396B958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состоянию включаемых в них вагонов;</w:t>
      </w:r>
    </w:p>
    <w:p w14:paraId="38513811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числу групп в составе;</w:t>
      </w:r>
    </w:p>
    <w:p w14:paraId="1EE0A883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роду перевозок и скорости движения.</w:t>
      </w:r>
    </w:p>
    <w:p w14:paraId="2BAD763E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1.2. По условиям формирования грузовые поезда делят на:</w:t>
      </w:r>
    </w:p>
    <w:p w14:paraId="389DFB65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поезда, формируемые на сортировочных, участковых и грузовых станциях без участия грузоотправителя;</w:t>
      </w:r>
    </w:p>
    <w:p w14:paraId="1FC2277D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маршруты установленного веса и (или) длины, организованные с мест погрузки (выгрузки), а также на технической, сортировочной или участковой станциях, сформированные из груженых/порожних вагонов одного или нескольких грузоотправителей, назначением на одну станцию выгрузки (погрузки) или  станцию распыления (расформирования) с обязательным освобождением в пути следования</w:t>
      </w:r>
      <w:r w:rsidRPr="00714A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4A7C">
        <w:rPr>
          <w:rFonts w:asciiTheme="minorHAnsi" w:hAnsiTheme="minorHAnsi" w:cstheme="minorHAnsi"/>
          <w:sz w:val="22"/>
          <w:szCs w:val="22"/>
        </w:rPr>
        <w:t>не менее одной технической станции от переработки такого  поезда предусмотренной</w:t>
      </w:r>
      <w:r w:rsidRPr="00714A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4A7C">
        <w:rPr>
          <w:rFonts w:asciiTheme="minorHAnsi" w:hAnsiTheme="minorHAnsi" w:cstheme="minorHAnsi"/>
          <w:sz w:val="22"/>
          <w:szCs w:val="22"/>
        </w:rPr>
        <w:t>планом формирования грузовых поездов.</w:t>
      </w:r>
    </w:p>
    <w:p w14:paraId="7671990F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1.3. Поезда, формируемые без участия грузоотправителя на сортировочных, участковых, а также на грузовых станциях, подразделяются на:</w:t>
      </w:r>
    </w:p>
    <w:p w14:paraId="7F09CC8E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а) сквозные - следующие без переработки через одну или несколько участковых или сортировочных станций</w:t>
      </w:r>
      <w:r w:rsidRPr="00714A7C">
        <w:rPr>
          <w:rFonts w:asciiTheme="minorHAnsi" w:hAnsiTheme="minorHAnsi" w:cstheme="minorHAnsi"/>
          <w:color w:val="7030A0"/>
          <w:sz w:val="22"/>
          <w:szCs w:val="22"/>
        </w:rPr>
        <w:t>;</w:t>
      </w:r>
    </w:p>
    <w:p w14:paraId="35F96A62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б)  участковые - следующие без переформирования по одному участку;</w:t>
      </w:r>
    </w:p>
    <w:p w14:paraId="3C7302C0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в) сборные - для развоза и сбора вагонов по промежуточным станциям.</w:t>
      </w:r>
    </w:p>
    <w:p w14:paraId="233D4EBA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Сборные поезда формируются с подборкой вагонов по станциям участка. Схема их формирования и порядок работы на промежуточных станциях устанавливается в соответствии с технологическим процессом организации местной работы - железнодорожной администрации.</w:t>
      </w:r>
    </w:p>
    <w:p w14:paraId="0201FA49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Разновидностями сборных поездов являются:</w:t>
      </w:r>
    </w:p>
    <w:p w14:paraId="20EB654A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зонные – с работой на нескольких промежуточных станциях одного участка;</w:t>
      </w:r>
    </w:p>
    <w:p w14:paraId="01998628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удлиненные – с работой на промежуточных станциях двух смежных участков;</w:t>
      </w:r>
    </w:p>
    <w:p w14:paraId="79BC4E78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сборно-участковые – следующие по нескольким участкам, с работой на промежуточных станциях одних участков и проходящие транзитом другие участки. Сборно-раздаточные вагоны для приема и выдачи мелких отправок на промежуточных станциях ставятся в сборные поезда отдельной группой. Погрузка и выгрузка этих вагонов на станциях участка, как правило, производится в пределах времени стоянки сборного поезда;</w:t>
      </w:r>
    </w:p>
    <w:p w14:paraId="481B5CA9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г) вывозные – следующие с сортировочной или участковой до отдельных промежуточных (грузовых) станций примыкающего участка или обратно с отдельных промежуточных (грузовых) станций до ближайшей сортировочной или участковой станции;</w:t>
      </w:r>
    </w:p>
    <w:p w14:paraId="5CBEA991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д) передаточные – следующие между станциями, входящими в один узел, и обслуживаемые парком специальных передаточных локомотивов;</w:t>
      </w:r>
    </w:p>
    <w:p w14:paraId="197C0847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е) диспетчерские локомотивы – назначаемые при незначительной погрузке и выгрузке на промежуточных станциях участка, а также в дополнение к сборным поездам.</w:t>
      </w:r>
    </w:p>
    <w:p w14:paraId="46565526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lastRenderedPageBreak/>
        <w:t>1.4. Классификация маршрутов устанавливается железнодорожной администрацией в соответствии с действующим транспортным законодательством и нормативно-технологическими документами</w:t>
      </w:r>
    </w:p>
    <w:p w14:paraId="790D65F9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1.5. По числу групп в составе грузовые поезда подразделяются на:</w:t>
      </w:r>
    </w:p>
    <w:p w14:paraId="120DF320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одногруппные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– на одну станцию назначения (выгрузки или расформирования);</w:t>
      </w:r>
    </w:p>
    <w:p w14:paraId="3C34DB3B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групповые – из двух или более подобранных групп вагонов на разные станции назначения.</w:t>
      </w:r>
    </w:p>
    <w:p w14:paraId="52CB40A5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В необходимых случаях устанавливается формирование групповых поездов из вагонов назначением на одну станцию с подборкой по маневровым районам, сортировочным системам, по роду и состоянию подвижного состава и другим признакам.</w:t>
      </w:r>
    </w:p>
    <w:p w14:paraId="5A7BEE74" w14:textId="77777777" w:rsidR="005E66C6" w:rsidRPr="00714A7C" w:rsidRDefault="005E66C6" w:rsidP="005E66C6">
      <w:pPr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Количество групп и порядок их расположения в составе устанавливается планом формирования поездов.</w:t>
      </w:r>
    </w:p>
    <w:p w14:paraId="5F77C349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1.6. По состоянию включаемых вагонов поезда формируются:</w:t>
      </w:r>
    </w:p>
    <w:p w14:paraId="108BBDFC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из груженых вагонов;</w:t>
      </w:r>
    </w:p>
    <w:p w14:paraId="5C0426B1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из порожних вагонов – отдельно по роду подвижного состава, а цистерн – по виду налива;</w:t>
      </w:r>
    </w:p>
    <w:p w14:paraId="264D2C58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комбинированные – из груженых и порожних вагонов.</w:t>
      </w:r>
    </w:p>
    <w:p w14:paraId="79AAEFDA" w14:textId="77777777" w:rsidR="005E66C6" w:rsidRPr="00714A7C" w:rsidRDefault="005E66C6" w:rsidP="005E66C6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DC06DC4" w14:textId="77777777" w:rsidR="005E66C6" w:rsidRPr="00714A7C" w:rsidRDefault="005E66C6" w:rsidP="005E66C6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>2. Вес и длина грузовых поездов.</w:t>
      </w:r>
    </w:p>
    <w:p w14:paraId="4A3FBD83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2.1. Поезда формируются из вагонов определенных назначений и установленными графиком движения нормой веса и длины. В зависимости от рода и назначения поездов нормы веса и длины подразделяются на:</w:t>
      </w:r>
    </w:p>
    <w:p w14:paraId="0A56251B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унифицированные – для пропуска сквозных поездов без переломов веса и длины на направлении;</w:t>
      </w:r>
    </w:p>
    <w:p w14:paraId="25DA4079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параллельные (повышенные или пониженные) – для пропуска без переломов веса и длины маршрутов, ускоренных контейнерных, контрейлерных,</w:t>
      </w:r>
      <w:r w:rsidRPr="00714A7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14A7C">
        <w:rPr>
          <w:rFonts w:asciiTheme="minorHAnsi" w:hAnsiTheme="minorHAnsi" w:cstheme="minorHAnsi"/>
          <w:sz w:val="22"/>
          <w:szCs w:val="22"/>
        </w:rPr>
        <w:t>рефрижераторных и для поездов определенных назначений;</w:t>
      </w:r>
    </w:p>
    <w:p w14:paraId="40E81642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критические – устанавливаемые по мощности локомотива для данного участка.</w:t>
      </w:r>
    </w:p>
    <w:p w14:paraId="22AAB393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Унифицированные и параллельные нормы веса и длины грузовых поездов устанавливаются в пределах</w:t>
      </w:r>
      <w:r w:rsidRPr="00714A7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14A7C">
        <w:rPr>
          <w:rFonts w:asciiTheme="minorHAnsi" w:hAnsiTheme="minorHAnsi" w:cstheme="minorHAnsi"/>
          <w:sz w:val="22"/>
          <w:szCs w:val="22"/>
        </w:rPr>
        <w:t>железнодорожной администрации.</w:t>
      </w:r>
    </w:p>
    <w:p w14:paraId="09B7E0D4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В международном сообщении вес и длина грузовых поездов устанавливаются Дирекцией Совета по железнодорожному транспорту государств-участников Содружества по согласованию с причастными железнодорожными администрациями. Допускается в исключительных случаях отклонение от установленных норм в сторону уменьшения веса и длины поезда не более чем на 90 тонн либо на один физический вагон. </w:t>
      </w:r>
    </w:p>
    <w:p w14:paraId="6E38D0FF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Вывозные, передаточные, сборные поезда отправляются с начальных станций независимо от числа накопившихся вагонов по установленным ниткам графика.</w:t>
      </w:r>
    </w:p>
    <w:p w14:paraId="14B6B861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2.2. Пополнение до весовой нормы, установленной графиком движения, маршрутов и сквозных поездов в пунктах перелома веса и длины, а также при отцепке вагонов с коммерческими и техническими неисправностями, производится вагонами в соответствии с назначением поездов, а при отсутствии таких вагонов – вагонами по плану формирования поездов, установленному для данной станции, без изменения индекса поезда.</w:t>
      </w:r>
    </w:p>
    <w:p w14:paraId="40CC30E3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Пополнение маршрутов при отцепке вагонов с коммерческими и техническими неисправностями (более 3-х вагонов), производится вагонами в соответствии с назначением маршрута, а при отсутствии таких вагонов – вагонами по плану формирования поездов, установленному для данной станции, без изменения индекса поезда.</w:t>
      </w:r>
    </w:p>
    <w:p w14:paraId="747C5186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При отцепке 1-3 вагонов с коммерческими и техническими неисправностями пополнение маршрутов не производится.</w:t>
      </w:r>
    </w:p>
    <w:p w14:paraId="60507272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2.3. Поезда, для которых установлены параллельные нормы веса и длины, пропускаются через пункты их перелома без изменения состава.</w:t>
      </w:r>
    </w:p>
    <w:p w14:paraId="0943677E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2.4. Обработка транзитных поездов, связанная с изменением веса или длины, устанавливается порядком, предусмотренным железнодорожной администрацией, с учетом особенностей работы станции и вносится в технологический процесс, при этом запрещается изменение первоначального индекса поезда.</w:t>
      </w:r>
    </w:p>
    <w:p w14:paraId="79E60BB6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lastRenderedPageBreak/>
        <w:t>2.5. Порядок формирования и пропуска транзитных поездов повышенного веса и длины, следующих по двум и более дорогам, устанавливается в графике движения или предусматривается при сменно-суточном планировании работы по согласованию с причастными железнодорожными администрациями.</w:t>
      </w:r>
    </w:p>
    <w:p w14:paraId="095C3523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2.6. Отцепленные от сквозных поездов и маршрутов вагоны с коммерческими и техническими неисправностями, после их устранения, а также вагоны, отцепленные по уменьшению веса и длины, отправляются в поездах по плану формирования станции, отцепившей вагоны.</w:t>
      </w:r>
    </w:p>
    <w:p w14:paraId="316F4879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2.7. При отцепке по технической или коммерческой неисправностям одного или двух вагонов разрешается передача поездов по межгосударственному стыковому пункту без пополнения до установленной графиком нормы веса или длины.</w:t>
      </w:r>
    </w:p>
    <w:p w14:paraId="153C0BBF" w14:textId="77777777" w:rsidR="005E66C6" w:rsidRPr="00714A7C" w:rsidRDefault="005E66C6" w:rsidP="005E66C6">
      <w:pPr>
        <w:spacing w:line="300" w:lineRule="exact"/>
        <w:ind w:firstLine="7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B9B644C" w14:textId="77777777" w:rsidR="005E66C6" w:rsidRPr="00714A7C" w:rsidRDefault="005E66C6" w:rsidP="005E66C6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>3. Организация порожних вагонопотоков.</w:t>
      </w:r>
    </w:p>
    <w:p w14:paraId="53637D24" w14:textId="77777777" w:rsidR="005E66C6" w:rsidRPr="00714A7C" w:rsidRDefault="005E66C6" w:rsidP="005E66C6">
      <w:pPr>
        <w:widowControl w:val="0"/>
        <w:tabs>
          <w:tab w:val="left" w:pos="364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3.1. Поезда из порожних вагонов формируют:</w:t>
      </w:r>
    </w:p>
    <w:p w14:paraId="2AC4BD80" w14:textId="77777777" w:rsidR="005E66C6" w:rsidRPr="00714A7C" w:rsidRDefault="005E66C6" w:rsidP="005E66C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а) на железнодорожных путях необщего пользования;</w:t>
      </w:r>
    </w:p>
    <w:p w14:paraId="58A68ECC" w14:textId="77777777" w:rsidR="005E66C6" w:rsidRPr="00714A7C" w:rsidRDefault="005E66C6" w:rsidP="005E66C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б) на крупных выгрузочных станциях и участках из вагонов, освобождающихся </w:t>
      </w:r>
      <w:r w:rsidRPr="00714A7C">
        <w:rPr>
          <w:rFonts w:asciiTheme="minorHAnsi" w:hAnsiTheme="minorHAnsi" w:cstheme="minorHAnsi"/>
          <w:sz w:val="22"/>
          <w:szCs w:val="22"/>
        </w:rPr>
        <w:lastRenderedPageBreak/>
        <w:t>после выгрузки;</w:t>
      </w:r>
    </w:p>
    <w:p w14:paraId="08C103E6" w14:textId="77777777" w:rsidR="005E66C6" w:rsidRPr="00714A7C" w:rsidRDefault="005E66C6" w:rsidP="005E66C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14A7C">
        <w:rPr>
          <w:rFonts w:asciiTheme="minorHAnsi" w:hAnsiTheme="minorHAnsi" w:cstheme="minorHAnsi"/>
          <w:bCs/>
          <w:sz w:val="22"/>
          <w:szCs w:val="22"/>
        </w:rPr>
        <w:t xml:space="preserve">в) на станциях подготовки вагонов (ремонта, промывки, подготовки под погрузку); </w:t>
      </w:r>
    </w:p>
    <w:p w14:paraId="6FBF5596" w14:textId="77777777" w:rsidR="005E66C6" w:rsidRPr="00714A7C" w:rsidRDefault="005E66C6" w:rsidP="005E66C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714A7C">
        <w:rPr>
          <w:rFonts w:asciiTheme="minorHAnsi" w:hAnsiTheme="minorHAnsi" w:cstheme="minorHAnsi"/>
          <w:bCs/>
          <w:sz w:val="22"/>
          <w:szCs w:val="22"/>
        </w:rPr>
        <w:t>г) на сортировочных и участковых станциях из вагонов, поступающих с других станций.</w:t>
      </w:r>
    </w:p>
    <w:p w14:paraId="1A433CD4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4A7C">
        <w:rPr>
          <w:rFonts w:asciiTheme="minorHAnsi" w:hAnsiTheme="minorHAnsi" w:cstheme="minorHAnsi"/>
          <w:bCs/>
          <w:sz w:val="22"/>
          <w:szCs w:val="22"/>
        </w:rPr>
        <w:t>3.2. Порожние вагоны инвентарного парка железнодорожных администраций организуют в поезда:</w:t>
      </w:r>
    </w:p>
    <w:p w14:paraId="208142B2" w14:textId="77777777" w:rsidR="005E66C6" w:rsidRPr="00714A7C" w:rsidRDefault="005E66C6" w:rsidP="005E66C6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а) сквозные, формируемые на технических станциях и на станциях массовой выгрузки по родам подвижного состава (цистерны – по виду налива) и следующие по регулировочным заданиям; </w:t>
      </w:r>
    </w:p>
    <w:p w14:paraId="19E86A8D" w14:textId="77777777" w:rsidR="005E66C6" w:rsidRPr="00714A7C" w:rsidRDefault="005E66C6" w:rsidP="005E66C6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б) сквозные, формируемые на технических станциях и на станциях массовой выгрузки из порожних вагонов, принадлежащих другим железнодорожным администрациям.</w:t>
      </w:r>
    </w:p>
    <w:p w14:paraId="044C6C6E" w14:textId="77777777" w:rsidR="005E66C6" w:rsidRPr="00714A7C" w:rsidRDefault="005E66C6" w:rsidP="005E66C6">
      <w:pPr>
        <w:pStyle w:val="Pa7"/>
        <w:spacing w:line="24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На станциях, где не предусмотрено формирование отдельных поездов из порожних вагонов инвентарного парка, вагоны включаются в грузовые поезда по плану формирования согласно регулировочному заданию, установленному техническим планом и суточным планом поездной и грузовой работы.</w:t>
      </w:r>
    </w:p>
    <w:p w14:paraId="02E87D33" w14:textId="77777777" w:rsidR="005E66C6" w:rsidRPr="00714A7C" w:rsidRDefault="005E66C6" w:rsidP="005E66C6">
      <w:pPr>
        <w:ind w:right="5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Если в плане формирования для данной станции не указаны назначения формируемых поездов, в которые следует включать порожние вагоны данного рода и государства-собственника, то такие вагоны направляют в соответствии с «Правилами эксплуатации,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пономерного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учета и расчетов за пользование грузовыми вагонами собственности других государств». </w:t>
      </w:r>
    </w:p>
    <w:p w14:paraId="2C17BAB6" w14:textId="77777777" w:rsidR="005E66C6" w:rsidRPr="00714A7C" w:rsidRDefault="005E66C6" w:rsidP="005E66C6">
      <w:pPr>
        <w:ind w:right="50" w:firstLine="720"/>
        <w:jc w:val="both"/>
        <w:rPr>
          <w:rFonts w:asciiTheme="minorHAnsi" w:hAnsiTheme="minorHAnsi" w:cstheme="minorHAnsi"/>
          <w:color w:val="7030A0"/>
          <w:sz w:val="22"/>
          <w:szCs w:val="22"/>
          <w:u w:val="single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Освободившиеся после выгрузки порожние вагоны по уведомлению Дирекции Совета могут направляться в качестве «вагонной» помощи при согласии железнодорожной администрации-собственницы. </w:t>
      </w:r>
    </w:p>
    <w:p w14:paraId="25629FE7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4A7C">
        <w:rPr>
          <w:rFonts w:asciiTheme="minorHAnsi" w:hAnsiTheme="minorHAnsi" w:cstheme="minorHAnsi"/>
          <w:bCs/>
          <w:sz w:val="22"/>
          <w:szCs w:val="22"/>
        </w:rPr>
        <w:t>3.3. Порожние собственные или арендованные вагоны, организуют в поезда:</w:t>
      </w:r>
    </w:p>
    <w:p w14:paraId="539D2BD8" w14:textId="77777777" w:rsidR="005E66C6" w:rsidRPr="00714A7C" w:rsidRDefault="005E66C6" w:rsidP="005E66C6">
      <w:pPr>
        <w:tabs>
          <w:tab w:val="left" w:pos="0"/>
          <w:tab w:val="left" w:pos="1620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а) сквозные из порожних вагонов без подборки по владельцам вагонов, операторам подвижного состава в адрес определенных станций назначения;</w:t>
      </w:r>
    </w:p>
    <w:p w14:paraId="4FA7EFE2" w14:textId="77777777" w:rsidR="005E66C6" w:rsidRPr="00714A7C" w:rsidRDefault="005E66C6" w:rsidP="005E66C6">
      <w:pPr>
        <w:tabs>
          <w:tab w:val="left" w:pos="0"/>
          <w:tab w:val="left" w:pos="1620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б)  маршруты из порожних вагонов определенных операторов подвижного состава</w:t>
      </w:r>
      <w:r w:rsidRPr="00714A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4A7C">
        <w:rPr>
          <w:rFonts w:asciiTheme="minorHAnsi" w:hAnsiTheme="minorHAnsi" w:cstheme="minorHAnsi"/>
          <w:sz w:val="22"/>
          <w:szCs w:val="22"/>
        </w:rPr>
        <w:t>или их объединений, сформированные на железнодорожных путях общего пользования;</w:t>
      </w:r>
    </w:p>
    <w:p w14:paraId="78AA98F3" w14:textId="77777777" w:rsidR="005E66C6" w:rsidRPr="00714A7C" w:rsidRDefault="005E66C6" w:rsidP="005E66C6">
      <w:pPr>
        <w:tabs>
          <w:tab w:val="left" w:pos="0"/>
        </w:tabs>
        <w:ind w:right="51" w:firstLine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На станциях, где не предусмотрено формирование отдельных поездов из порожних собственных и арендованных вагонов, вагоны направляются на станцию назначения, указанную отправителями порожних вагонов в перевозочных документах, в соответствии с планом формирования грузовых поездов. </w:t>
      </w:r>
    </w:p>
    <w:p w14:paraId="43BA990A" w14:textId="77777777" w:rsidR="005E66C6" w:rsidRPr="00714A7C" w:rsidRDefault="005E66C6" w:rsidP="005E66C6">
      <w:pPr>
        <w:spacing w:line="300" w:lineRule="exac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88DEAB9" w14:textId="77777777" w:rsidR="005E66C6" w:rsidRPr="00714A7C" w:rsidRDefault="005E66C6" w:rsidP="005E66C6">
      <w:pPr>
        <w:spacing w:line="300" w:lineRule="exact"/>
        <w:ind w:firstLine="720"/>
        <w:jc w:val="center"/>
        <w:rPr>
          <w:rFonts w:asciiTheme="minorHAnsi" w:hAnsiTheme="minorHAnsi" w:cstheme="minorHAnsi"/>
          <w:color w:val="7030A0"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>4. Специализированные поезда.</w:t>
      </w:r>
    </w:p>
    <w:p w14:paraId="2772B019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4.1. По роду перевозок формируются ускоренные поезда с повышенной маршрутной скоростью, к которым относятся поезда для перевозки: контейнеров, контрейлеров, скоропортящихся грузов в рефрижераторных вагонах</w:t>
      </w:r>
      <w:r w:rsidRPr="00714A7C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714A7C">
        <w:rPr>
          <w:rFonts w:asciiTheme="minorHAnsi" w:hAnsiTheme="minorHAnsi" w:cstheme="minorHAnsi"/>
          <w:sz w:val="22"/>
          <w:szCs w:val="22"/>
        </w:rPr>
        <w:t xml:space="preserve">и рефрижераторных контейнерах, живности, овощей и фруктов в крытых вагонах, а также вагонов с другими грузами повышенной срочности доставки. </w:t>
      </w:r>
    </w:p>
    <w:p w14:paraId="75DA7057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4.2. Специализированные грузовые поезда  формируются и пропускаются на всем пути следования установленной нормой веса и (или) длины для каждого назначения.</w:t>
      </w:r>
    </w:p>
    <w:p w14:paraId="5814C1D3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lastRenderedPageBreak/>
        <w:t>4.3. Контейнерный поезд – поезд установленной длины, номера и маршрута следования, сформированный из вагонов с крупнотоннажными контейнерами одним или несколькими грузоотправителями на одной станции формирования в адрес одного или нескольких грузополучателей на одну станцию расформирования без переработки в пути следования, предусмотренный в Перечне международных контейнерных поездов.</w:t>
      </w:r>
    </w:p>
    <w:p w14:paraId="2F5C9E2F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4.4. Контрейлерный поезд – поезд установленной длины, сформированный из специализированных вагонов-платформ для перевозки автотранспортных средств и пассажирских вагонов (предназначенных для сопровождающего персонала), загруженных на станции отправления на одну или несколько станций назначения без переработки в пути следования на сортировочных станциях, с возможностью прицепки и отцепки в пути следования прицепной группы.</w:t>
      </w:r>
    </w:p>
    <w:p w14:paraId="0F2D4572" w14:textId="77777777" w:rsidR="005E66C6" w:rsidRPr="00714A7C" w:rsidRDefault="005E66C6" w:rsidP="005E66C6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Организация движения контрейлерного поезда может осуществляться по следующим видам маршрутов:</w:t>
      </w:r>
    </w:p>
    <w:p w14:paraId="56CDEE1F" w14:textId="77777777" w:rsidR="005E66C6" w:rsidRPr="00714A7C" w:rsidRDefault="005E66C6" w:rsidP="005E66C6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между двумя станциями - станцией отправления (загрузки) и станцией назначения (выгрузки);</w:t>
      </w:r>
    </w:p>
    <w:p w14:paraId="3534EE95" w14:textId="77777777" w:rsidR="005E66C6" w:rsidRPr="00714A7C" w:rsidRDefault="005E66C6" w:rsidP="005E66C6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между несколькими станциями - станцией отправления (загрузки), с погрузкой/выгрузкой на установленных станциях по маршруту следования поезда и станцией назначения (выгрузки).</w:t>
      </w:r>
    </w:p>
    <w:p w14:paraId="4AB1A35E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14A7C">
        <w:rPr>
          <w:rFonts w:asciiTheme="minorHAnsi" w:hAnsiTheme="minorHAnsi" w:cstheme="minorHAnsi"/>
          <w:sz w:val="22"/>
          <w:szCs w:val="22"/>
          <w:lang w:eastAsia="en-US"/>
        </w:rPr>
        <w:t xml:space="preserve">4.5. Маршрут следования международных контейнерных, контрейлерных поездов и условная длина поезда согласовываются причастными железнодорожными администрациями. </w:t>
      </w:r>
    </w:p>
    <w:p w14:paraId="1BD533CD" w14:textId="77777777" w:rsidR="005E66C6" w:rsidRPr="00714A7C" w:rsidRDefault="005E66C6" w:rsidP="005E66C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  <w:lang w:eastAsia="en-US"/>
        </w:rPr>
        <w:t>4.6. </w:t>
      </w:r>
      <w:r w:rsidRPr="00714A7C">
        <w:rPr>
          <w:rFonts w:asciiTheme="minorHAnsi" w:hAnsiTheme="minorHAnsi" w:cstheme="minorHAnsi"/>
          <w:sz w:val="22"/>
          <w:szCs w:val="22"/>
        </w:rPr>
        <w:t>Отправление и пропуск специализированных грузовых, контейнерных, контрейлерных поездов производится по расписаниям, установленным для этих поездов.</w:t>
      </w:r>
    </w:p>
    <w:p w14:paraId="5D311377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4.7. Порожние и груженые маршруты в составе 28 – 30 изотермических вагонов (7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пятивагонных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рефрижераторных секций) на всем пути следования не пополняются другими вагонами и не учитываются в числе неполновесных и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неполносоставных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>.</w:t>
      </w:r>
    </w:p>
    <w:p w14:paraId="3EC4ADD2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Отдельные рефрижераторные секции, сцепы из рефрижераторных контейнеров,</w:t>
      </w:r>
      <w:r w:rsidRPr="00714A7C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714A7C">
        <w:rPr>
          <w:rFonts w:asciiTheme="minorHAnsi" w:hAnsiTheme="minorHAnsi" w:cstheme="minorHAnsi"/>
          <w:sz w:val="22"/>
          <w:szCs w:val="22"/>
        </w:rPr>
        <w:t>вагоны-термосы, цистерны-термосы, ИВ-термосы, крытые со скоропортящимся грузом в груженом и порожнем состоянии должны следовать по установленному порядку направления вагонопотоков и плану формирования грузовых поездов.</w:t>
      </w:r>
    </w:p>
    <w:p w14:paraId="1A4D3938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4.8. Массовая перевозка живности производится, как правило, в специально оборудованных вагонах. Маршрут следования вагонов с живностью согласовывается перевозчиком с учетом возможности поения животных водой.</w:t>
      </w:r>
    </w:p>
    <w:p w14:paraId="1F98CA59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4.9. Отцепленные от специализированных поездов вагоны с коммерческими и техническими неисправностями, после их устранения, отправляются в поездах по плану формирования станции, отцепившей вагоны, через межгосударственный пункт перехода, указанный в перевозочных документах.</w:t>
      </w:r>
    </w:p>
    <w:p w14:paraId="43978A3B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4.10. При отцепке от специализированных поездов по технической или коммерческой неисправностям одного физического вагона разрешается передача поездов по межгосударственному стыковому пункту без пополнения до установленной графиком нормы веса или длины.</w:t>
      </w:r>
    </w:p>
    <w:p w14:paraId="279EC15E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lastRenderedPageBreak/>
        <w:t>4.11. Сдача специализированных поездов соседней железнодорожной администрации по МГСП сдачи составом, принятым по МГСП приема.</w:t>
      </w:r>
    </w:p>
    <w:p w14:paraId="106CF503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F0040F7" w14:textId="77777777" w:rsidR="005E66C6" w:rsidRPr="00714A7C" w:rsidRDefault="005E66C6" w:rsidP="005E66C6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 xml:space="preserve">5. Включение в грузовые поезда вагонов с негабаритными </w:t>
      </w:r>
    </w:p>
    <w:p w14:paraId="07C92B83" w14:textId="77777777" w:rsidR="005E66C6" w:rsidRPr="00714A7C" w:rsidRDefault="005E66C6" w:rsidP="005E66C6">
      <w:pPr>
        <w:spacing w:line="300" w:lineRule="exact"/>
        <w:ind w:firstLine="72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>и опасными грузами.</w:t>
      </w:r>
    </w:p>
    <w:p w14:paraId="4B96E3A8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5.1. При постановке в грузовые поезда вагонов с негабаритными грузами следует учитывать, что маршруты для пропуска грузов, имеющих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негабаритность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       3-6-ю нижнюю и 4-6-ю боковую степеней (по отдельным участкам и верхнюю 3-ю степень), а также для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сверхнегабаритных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грузов во многих случаях не совпадают с установленным планом формирования поездов. Вагоны с такими негабаритными грузами дальних назначений допускается включать в поезда ближних назначений. Во всех случаях станция расформирования поезда должна быть заблаговременно извещена о предстоящей работе с поездом, имеющем в составе негабаритный груз.</w:t>
      </w:r>
    </w:p>
    <w:p w14:paraId="76A87E2B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5.2. В случаях, когда маршруты следования вагонов с опасными грузами отличаются от установленных действующим планом формирования, порядок их включения в поезда устанавливается соответствующим распоряжением железнодорожной администрации.</w:t>
      </w:r>
    </w:p>
    <w:p w14:paraId="38FD252B" w14:textId="77777777" w:rsidR="005E66C6" w:rsidRPr="00714A7C" w:rsidRDefault="005E66C6" w:rsidP="005E66C6">
      <w:pPr>
        <w:tabs>
          <w:tab w:val="left" w:pos="-709"/>
        </w:tabs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4A7C">
        <w:rPr>
          <w:rFonts w:asciiTheme="minorHAnsi" w:hAnsiTheme="minorHAnsi" w:cstheme="minorHAnsi"/>
          <w:bCs/>
          <w:sz w:val="22"/>
          <w:szCs w:val="22"/>
        </w:rPr>
        <w:t>5.3.Согласно заявкам грузоотправителей вагоны, следующие совместно с вагонами, загруженными негабаритными грузами (перечисленные в п.5.1), направляются по маршруту, указанному в телеграфных указаниях отдела специальных перевозок (ЦДВ ОАО «РЖД») или других железнодорожных администраций (железных дорог) без согласования изменения плана формирования с причастными железнодорожными администрациями и Дирекцией Совета. Для вагонов, следующих с изменением плана формирования, в перевозочных документах необходимо указать разрешение (телеграмму) ЦДВ ОАО «РЖД» или других железнодорожных администраций (железных дорог) на основании которых организован пропуск негабаритных грузов по конкретному маршруту.</w:t>
      </w:r>
    </w:p>
    <w:p w14:paraId="6287ABAD" w14:textId="77777777" w:rsidR="005E66C6" w:rsidRPr="00714A7C" w:rsidRDefault="005E66C6" w:rsidP="005E66C6">
      <w:pPr>
        <w:tabs>
          <w:tab w:val="left" w:pos="-709"/>
        </w:tabs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14:paraId="09D1E983" w14:textId="77777777" w:rsidR="005E66C6" w:rsidRPr="00714A7C" w:rsidRDefault="005E66C6" w:rsidP="005E66C6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>6. Разработка, утверждение и корректировка плана формирования грузовых поездов.</w:t>
      </w:r>
    </w:p>
    <w:p w14:paraId="54F7FC03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6.1. План формирования грузовых поездов, порядок направления вагонопотоков и план организации маршрутов разрабатываются:</w:t>
      </w:r>
    </w:p>
    <w:p w14:paraId="488BEC7C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в международном сообщении – железнодорожными администрациями с участием Дирекции Совета по железнодорожному транспорту и утверждаются на заседании Совета по железнодорожному транспорту.</w:t>
      </w:r>
    </w:p>
    <w:p w14:paraId="3AFC3261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внутригосударственных (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внутридорожных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) назначений – в соответствии с порядком, устанавливаемым железнодорожной администрацией. </w:t>
      </w:r>
    </w:p>
    <w:p w14:paraId="78258B33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6.2. План формирования грузовых поездов в международном сообщении предусматривает:</w:t>
      </w:r>
    </w:p>
    <w:p w14:paraId="535A2D2B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выделение отдельного назначения - при образовании на сортировочной станции вагонопотока в назначение по плану формирования впередилежащих на данном направлении станций не менее двух составов в сутки установленной нормой длины или веса;</w:t>
      </w:r>
    </w:p>
    <w:p w14:paraId="4583BE63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lastRenderedPageBreak/>
        <w:t>формирование маршрутов - при предъявлении на одной станции одним отправителем в одно назначение не менее состава в сутки.</w:t>
      </w:r>
    </w:p>
    <w:p w14:paraId="6A2BA7CA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Право определения станции формирования нового назначения в международном сообщении предоставляется железнодорожной администрации формирования поезда.</w:t>
      </w:r>
    </w:p>
    <w:p w14:paraId="27D0E9B2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6.3. Изменения и корректировка плана формирования грузовых поездов, порядка направления вагонопотоков и плана организации маршрутов производятся:</w:t>
      </w:r>
    </w:p>
    <w:p w14:paraId="14A20811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- в международном сообщении – Дирекцией Совета по железнодорожному транспорту по согласованию с причастными железнодорожными администрациями. </w:t>
      </w:r>
    </w:p>
    <w:p w14:paraId="271C22B5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во внутригосударственном (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внутридорожном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) сообщении – порядком, устанавливаемым железнодорожной администрацией. </w:t>
      </w:r>
    </w:p>
    <w:p w14:paraId="7D6C4BDF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6.4. По просьбам железнодорожных администраций (на основании обращений грузоотправителей и по согласованию со всеми железнодорожными администрациями, участвующими в данной перевозке, может быть изменен установленный порядок направления вагонопотоков в международном сообщении.</w:t>
      </w:r>
    </w:p>
    <w:p w14:paraId="3EA7AD36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Изменение порядка направления вагонопотоков оформляется Дирекцией Совета и допускается на срок не более трех месяцев. </w:t>
      </w:r>
    </w:p>
    <w:p w14:paraId="41ACCC8E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При составлении заявки на изменение плана формирования указывать:</w:t>
      </w:r>
    </w:p>
    <w:p w14:paraId="1D30388F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станцию отправления;</w:t>
      </w:r>
    </w:p>
    <w:p w14:paraId="5DF678AD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станцию назначения;</w:t>
      </w:r>
    </w:p>
    <w:p w14:paraId="53805D90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пункты перехода;</w:t>
      </w:r>
    </w:p>
    <w:p w14:paraId="7E92398C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срок действия изменения;</w:t>
      </w:r>
    </w:p>
    <w:p w14:paraId="4AB6A0B3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род подвижного состава;</w:t>
      </w:r>
    </w:p>
    <w:p w14:paraId="5B3FE225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код груза ЕТСНГ;</w:t>
      </w:r>
    </w:p>
    <w:p w14:paraId="3CD38D98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код грузоотправителя;</w:t>
      </w:r>
    </w:p>
    <w:p w14:paraId="1AEBC621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 количество вагонов.</w:t>
      </w:r>
    </w:p>
    <w:p w14:paraId="621CA585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Срок оформления заявок на изменение порядка направления вагонопотоков - 15 календарных дней.</w:t>
      </w:r>
    </w:p>
    <w:p w14:paraId="0006CEBD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При отсутствии ответа железнодорожной администрации на запрос Дирекции Совета или запрашивающей железнодорожной администрации о возможности пропуска вагонопотока измененным маршрутом следования  в течение 15 календарных дней, изменение порядка направления вагонопотоков в международном сообщении считается согласованным.</w:t>
      </w:r>
    </w:p>
    <w:p w14:paraId="2035DFF6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Дирекция Совета информирует о принятом решении по пропуску вагонопотока по действующему или измененному маршруту  причастные железнодорожные администрации, которые, в свою очередь, обязаны уведомить об изменении порядка направления вагонов свои железнодорожные станции.</w:t>
      </w:r>
    </w:p>
    <w:p w14:paraId="4DDD95CB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При следовании груженого вагонопотока по измененным направлениям, возврат порожних вагонов осуществляется по межгосударственным стыковым пунктам, по которым вагоны следовали в груженом состоянии.</w:t>
      </w:r>
    </w:p>
    <w:p w14:paraId="48C8616A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Изменение маршрута следования при объемах перевозок до трех вагонов включительно по одному запросу осуществляется по уведомлениям Дирекции Совета без согласования с причастными железнодорожными администрациями.  </w:t>
      </w:r>
    </w:p>
    <w:p w14:paraId="4A4E0316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lastRenderedPageBreak/>
        <w:t>6.5. Оперативное изменение международного плана формирования грузовых поездов и вагонов с контейнерами, межгосударственных пунктов перехода в связи со сложной эксплуатационной обстановкой на участках, избыточным образованием вагонопотока производится по согласованию с причастными железнодорожными администрациями.</w:t>
      </w:r>
    </w:p>
    <w:p w14:paraId="2DD94C31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Оперативная корректировка оформляется уведомлениями Дирекции Совета, которые передаются не позднее, чем за двое суток до начала действия изменений. </w:t>
      </w:r>
    </w:p>
    <w:p w14:paraId="044CCE8B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6.6. При возникновении чрезвычайных ситуаций оперативная корректировка международного плана формирования грузовых поездов осуществляется с момента передачи распоряжения Дирекции Совета с уведомлением причастных железнодорожных администраций.</w:t>
      </w:r>
    </w:p>
    <w:p w14:paraId="119C5CB4" w14:textId="77777777" w:rsidR="005E66C6" w:rsidRPr="00714A7C" w:rsidRDefault="005E66C6" w:rsidP="005E66C6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69D0D54" w14:textId="77777777" w:rsidR="005E66C6" w:rsidRPr="00714A7C" w:rsidRDefault="005E66C6" w:rsidP="005E66C6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A7C">
        <w:rPr>
          <w:rFonts w:asciiTheme="minorHAnsi" w:hAnsiTheme="minorHAnsi" w:cstheme="minorHAnsi"/>
          <w:b/>
          <w:sz w:val="22"/>
          <w:szCs w:val="22"/>
        </w:rPr>
        <w:t>7. Обеспечение выполнения плана формирования грузовых поездов.</w:t>
      </w:r>
    </w:p>
    <w:p w14:paraId="4215223D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7.1. К нарушениям плана формирования относятся:</w:t>
      </w:r>
    </w:p>
    <w:p w14:paraId="3FCF4604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7.1.1. Нарушения порядка формирования поездов:</w:t>
      </w:r>
    </w:p>
    <w:p w14:paraId="0DBDE8B7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включение вагонов, для которых путь следования поезда является кружным, если это не предусмотрено планом формирования;</w:t>
      </w:r>
    </w:p>
    <w:p w14:paraId="49955F1D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включение вагонов более ближнего назначения (обратного назначения), если это не предусмотрено планом формирования;</w:t>
      </w:r>
    </w:p>
    <w:p w14:paraId="026EC2F1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включение в поезд ближнего назначения  вагонов дальнего назначения, которые по действующему плану формирования должны следовать через станцию назначения данного поезда в транзитных поездах;</w:t>
      </w:r>
    </w:p>
    <w:p w14:paraId="6E393E23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включение в маршруты вагонов назначением на другие станции;</w:t>
      </w:r>
    </w:p>
    <w:p w14:paraId="2511B377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включение в поезд вагонов с опасными грузами, станция назначения которых не соответствует назначению поезда;</w:t>
      </w:r>
    </w:p>
    <w:p w14:paraId="331E9241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включение в поезд вагонов, межгосударственный пункт перехода которых не соответствует назначению поезда;</w:t>
      </w:r>
    </w:p>
    <w:p w14:paraId="36DDA008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включение в поезд вагонов, признаки которых (код груза, код грузополучателя, примечание строки натурного листа) не соответствует назначению поезда (если по плану формирования вагоны с разными признаками должны следовать на одну станцию назначения в разных поездах);</w:t>
      </w:r>
    </w:p>
    <w:p w14:paraId="6F511344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несоответствие подбора групп вагонов, следующих в групповых поездах, установленному порядку их формирования и расположения в составе поезда;</w:t>
      </w:r>
    </w:p>
    <w:p w14:paraId="145D1908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</w:t>
      </w:r>
      <w:r w:rsidRPr="00714A7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714A7C">
        <w:rPr>
          <w:rFonts w:asciiTheme="minorHAnsi" w:hAnsiTheme="minorHAnsi" w:cstheme="minorHAnsi"/>
          <w:sz w:val="22"/>
          <w:szCs w:val="22"/>
        </w:rPr>
        <w:t>формирование поездов станциями, не включенными в план формирования поездов и прицепка вагонов к ним с отступлениями от установленного для впередилежащей технической станции плана формирования поездов;</w:t>
      </w:r>
    </w:p>
    <w:p w14:paraId="52960F2A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</w:t>
      </w:r>
      <w:r w:rsidRPr="00714A7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714A7C">
        <w:rPr>
          <w:rFonts w:asciiTheme="minorHAnsi" w:hAnsiTheme="minorHAnsi" w:cstheme="minorHAnsi"/>
          <w:sz w:val="22"/>
          <w:szCs w:val="22"/>
        </w:rPr>
        <w:t>постановка в поезда груженых вагонов, не имеющих перевозочных документов;</w:t>
      </w:r>
    </w:p>
    <w:p w14:paraId="61D08E21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7.1.2. Нарушения порядка пропуска поездов:</w:t>
      </w:r>
    </w:p>
    <w:p w14:paraId="18E979F5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</w:t>
      </w:r>
      <w:r w:rsidRPr="00714A7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714A7C">
        <w:rPr>
          <w:rFonts w:asciiTheme="minorHAnsi" w:hAnsiTheme="minorHAnsi" w:cstheme="minorHAnsi"/>
          <w:sz w:val="22"/>
          <w:szCs w:val="22"/>
        </w:rPr>
        <w:t>преждевременное расформирование поездов и маршрутов;</w:t>
      </w:r>
    </w:p>
    <w:p w14:paraId="4FF86A0B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пропуск станцией поезда, подлежащего расформированию;</w:t>
      </w:r>
    </w:p>
    <w:p w14:paraId="08091120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>- пропуск станцией группового поезда без отцепки предназначенной для нее поездной группы;</w:t>
      </w:r>
    </w:p>
    <w:p w14:paraId="5EE2A608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- несоблюдение установленного порядка пополнения в пути следования поездов, следующих по плану формирования; </w:t>
      </w:r>
    </w:p>
    <w:p w14:paraId="38085D98" w14:textId="77777777" w:rsidR="005E66C6" w:rsidRPr="00714A7C" w:rsidRDefault="005E66C6" w:rsidP="005E66C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lastRenderedPageBreak/>
        <w:t>- пополнение или отцепка вагонов от маршрутов (за исключением станций перелома веса/длины, предусмотренных планом формирования грузовых поездов, и вагонов по техническим и коммерческим неисправностям).</w:t>
      </w:r>
    </w:p>
    <w:p w14:paraId="33FB5E25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7.2. В книге Плана формирования поездов (сдача поездов по стыкам – часть 2) указывают все поезда, сформированные на станциях без участия грузоотправителей (отправителей порожних вагонов), а также маршруты и поезда, следующие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кружностью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5787AF" w14:textId="77777777" w:rsidR="005E66C6" w:rsidRPr="00714A7C" w:rsidRDefault="005E66C6" w:rsidP="005E66C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</w:rPr>
        <w:t xml:space="preserve">В случае поступления транзитного поезда на дорогу неразрешенной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кружностью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он должен быть направлен в соответствии с установленным порядком следования вагонопотоков для данной дороги.</w:t>
      </w:r>
    </w:p>
    <w:p w14:paraId="31FD2109" w14:textId="77777777" w:rsidR="005E66C6" w:rsidRPr="00714A7C" w:rsidRDefault="005E66C6" w:rsidP="005E66C6">
      <w:pPr>
        <w:pStyle w:val="BodyText"/>
        <w:tabs>
          <w:tab w:val="left" w:pos="-709"/>
        </w:tabs>
        <w:ind w:firstLine="709"/>
        <w:rPr>
          <w:rFonts w:asciiTheme="minorHAnsi" w:hAnsiTheme="minorHAnsi" w:cstheme="minorHAnsi"/>
          <w:sz w:val="22"/>
          <w:szCs w:val="22"/>
        </w:rPr>
      </w:pPr>
      <w:r w:rsidRPr="00714A7C">
        <w:rPr>
          <w:rFonts w:asciiTheme="minorHAnsi" w:hAnsiTheme="minorHAnsi" w:cstheme="minorHAnsi"/>
          <w:sz w:val="22"/>
          <w:szCs w:val="22"/>
          <w:lang w:val="ru-RU"/>
        </w:rPr>
        <w:t>7</w:t>
      </w:r>
      <w:r w:rsidRPr="00714A7C">
        <w:rPr>
          <w:rFonts w:asciiTheme="minorHAnsi" w:hAnsiTheme="minorHAnsi" w:cstheme="minorHAnsi"/>
          <w:sz w:val="22"/>
          <w:szCs w:val="22"/>
        </w:rPr>
        <w:t>.3.</w:t>
      </w:r>
      <w:r w:rsidRPr="00714A7C">
        <w:rPr>
          <w:rFonts w:asciiTheme="minorHAnsi" w:hAnsiTheme="minorHAnsi" w:cstheme="minorHAnsi"/>
          <w:sz w:val="22"/>
          <w:szCs w:val="22"/>
          <w:lang w:val="ru-RU"/>
        </w:rPr>
        <w:t> </w:t>
      </w:r>
      <w:proofErr w:type="spellStart"/>
      <w:r w:rsidRPr="00714A7C">
        <w:rPr>
          <w:rFonts w:asciiTheme="minorHAnsi" w:hAnsiTheme="minorHAnsi" w:cstheme="minorHAnsi"/>
          <w:sz w:val="22"/>
          <w:szCs w:val="22"/>
          <w:lang w:val="ru-RU"/>
        </w:rPr>
        <w:t>Маршруты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которые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поименованы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книге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План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формирования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грузовых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поездов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»,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должны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формироваться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весом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длиной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установленными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графиком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движения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поездов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следовать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пунктам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перехода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установленным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груженого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A7C">
        <w:rPr>
          <w:rFonts w:asciiTheme="minorHAnsi" w:hAnsiTheme="minorHAnsi" w:cstheme="minorHAnsi"/>
          <w:sz w:val="22"/>
          <w:szCs w:val="22"/>
        </w:rPr>
        <w:t>вагонопотока</w:t>
      </w:r>
      <w:proofErr w:type="spellEnd"/>
      <w:r w:rsidRPr="00714A7C">
        <w:rPr>
          <w:rFonts w:asciiTheme="minorHAnsi" w:hAnsiTheme="minorHAnsi" w:cstheme="minorHAnsi"/>
          <w:sz w:val="22"/>
          <w:szCs w:val="22"/>
        </w:rPr>
        <w:t>.</w:t>
      </w:r>
    </w:p>
    <w:p w14:paraId="56E935A7" w14:textId="77777777" w:rsidR="005E66C6" w:rsidRPr="00714A7C" w:rsidRDefault="005E66C6" w:rsidP="005E66C6">
      <w:pPr>
        <w:rPr>
          <w:rFonts w:asciiTheme="minorHAnsi" w:hAnsiTheme="minorHAnsi" w:cstheme="minorHAnsi"/>
          <w:bCs/>
          <w:sz w:val="22"/>
          <w:szCs w:val="22"/>
          <w:lang w:val="x-none"/>
        </w:rPr>
      </w:pPr>
    </w:p>
    <w:p w14:paraId="4BBC2A46" w14:textId="77777777" w:rsidR="005E66C6" w:rsidRPr="00714A7C" w:rsidRDefault="005E66C6" w:rsidP="005E66C6">
      <w:pPr>
        <w:rPr>
          <w:rFonts w:asciiTheme="minorHAnsi" w:hAnsiTheme="minorHAnsi" w:cstheme="minorHAnsi"/>
          <w:sz w:val="22"/>
          <w:szCs w:val="22"/>
        </w:rPr>
      </w:pPr>
    </w:p>
    <w:p w14:paraId="0CAE9AC5" w14:textId="77777777" w:rsidR="005E66C6" w:rsidRPr="00714A7C" w:rsidRDefault="005E66C6" w:rsidP="005E66C6">
      <w:pPr>
        <w:rPr>
          <w:rFonts w:asciiTheme="minorHAnsi" w:hAnsiTheme="minorHAnsi" w:cstheme="minorHAnsi"/>
          <w:sz w:val="22"/>
          <w:szCs w:val="22"/>
        </w:rPr>
      </w:pPr>
    </w:p>
    <w:p w14:paraId="21743B27" w14:textId="77777777" w:rsidR="005E66C6" w:rsidRPr="00714A7C" w:rsidRDefault="005E66C6" w:rsidP="005E66C6">
      <w:pPr>
        <w:rPr>
          <w:rFonts w:asciiTheme="minorHAnsi" w:hAnsiTheme="minorHAnsi" w:cstheme="minorHAnsi"/>
          <w:sz w:val="22"/>
          <w:szCs w:val="22"/>
        </w:rPr>
      </w:pPr>
    </w:p>
    <w:p w14:paraId="687344E4" w14:textId="77777777" w:rsidR="00024B31" w:rsidRPr="00714A7C" w:rsidRDefault="00024B31" w:rsidP="00452939">
      <w:pPr>
        <w:rPr>
          <w:rFonts w:asciiTheme="minorHAnsi" w:hAnsiTheme="minorHAnsi" w:cstheme="minorHAnsi"/>
          <w:sz w:val="22"/>
          <w:szCs w:val="22"/>
        </w:rPr>
      </w:pPr>
    </w:p>
    <w:sectPr w:rsidR="00024B31" w:rsidRPr="00714A7C" w:rsidSect="00E837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2CB2" w14:textId="77777777" w:rsidR="00C81E42" w:rsidRDefault="00C81E42">
      <w:r>
        <w:separator/>
      </w:r>
    </w:p>
  </w:endnote>
  <w:endnote w:type="continuationSeparator" w:id="0">
    <w:p w14:paraId="141F2574" w14:textId="77777777" w:rsidR="00C81E42" w:rsidRDefault="00C8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A09F" w14:textId="77777777" w:rsidR="00C81E42" w:rsidRDefault="00C81E42">
      <w:r>
        <w:separator/>
      </w:r>
    </w:p>
  </w:footnote>
  <w:footnote w:type="continuationSeparator" w:id="0">
    <w:p w14:paraId="46F5C94B" w14:textId="77777777" w:rsidR="00C81E42" w:rsidRDefault="00C8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2A7" w14:textId="77777777" w:rsidR="00E83704" w:rsidRPr="00685D9F" w:rsidRDefault="00F30A9B" w:rsidP="00685D9F">
    <w:pPr>
      <w:pStyle w:val="Header"/>
      <w:jc w:val="center"/>
      <w:rPr>
        <w:sz w:val="22"/>
        <w:szCs w:val="22"/>
      </w:rPr>
    </w:pPr>
    <w:r w:rsidRPr="00685D9F">
      <w:rPr>
        <w:sz w:val="22"/>
        <w:szCs w:val="22"/>
      </w:rPr>
      <w:fldChar w:fldCharType="begin"/>
    </w:r>
    <w:r w:rsidRPr="00685D9F">
      <w:rPr>
        <w:sz w:val="22"/>
        <w:szCs w:val="22"/>
      </w:rPr>
      <w:instrText xml:space="preserve"> PAGE   \* MERGEFORMAT </w:instrText>
    </w:r>
    <w:r w:rsidRPr="00685D9F">
      <w:rPr>
        <w:sz w:val="22"/>
        <w:szCs w:val="22"/>
      </w:rPr>
      <w:fldChar w:fldCharType="separate"/>
    </w:r>
    <w:r>
      <w:rPr>
        <w:noProof/>
        <w:sz w:val="22"/>
        <w:szCs w:val="22"/>
      </w:rPr>
      <w:t>8</w:t>
    </w:r>
    <w:r w:rsidRPr="00685D9F">
      <w:rPr>
        <w:sz w:val="22"/>
        <w:szCs w:val="22"/>
      </w:rPr>
      <w:fldChar w:fldCharType="end"/>
    </w:r>
  </w:p>
  <w:p w14:paraId="15CCD9FC" w14:textId="77777777" w:rsidR="00E83704" w:rsidRPr="00685D9F" w:rsidRDefault="00714A7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38"/>
    <w:multiLevelType w:val="hybridMultilevel"/>
    <w:tmpl w:val="9C7A8FAC"/>
    <w:lvl w:ilvl="0" w:tplc="C0087916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2941F60"/>
    <w:multiLevelType w:val="hybridMultilevel"/>
    <w:tmpl w:val="B8A65C4A"/>
    <w:lvl w:ilvl="0" w:tplc="313E6F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51778"/>
    <w:multiLevelType w:val="hybridMultilevel"/>
    <w:tmpl w:val="88E0871A"/>
    <w:lvl w:ilvl="0" w:tplc="5A2A5E5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" w15:restartNumberingAfterBreak="0">
    <w:nsid w:val="085672CC"/>
    <w:multiLevelType w:val="hybridMultilevel"/>
    <w:tmpl w:val="7892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C42D4"/>
    <w:multiLevelType w:val="hybridMultilevel"/>
    <w:tmpl w:val="22C075D4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0A964DD9"/>
    <w:multiLevelType w:val="hybridMultilevel"/>
    <w:tmpl w:val="06CE54AC"/>
    <w:lvl w:ilvl="0" w:tplc="DDEA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A37026"/>
    <w:multiLevelType w:val="hybridMultilevel"/>
    <w:tmpl w:val="92BC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AB5EFD"/>
    <w:multiLevelType w:val="hybridMultilevel"/>
    <w:tmpl w:val="FBC69F88"/>
    <w:lvl w:ilvl="0" w:tplc="0A48C7C8">
      <w:start w:val="1"/>
      <w:numFmt w:val="decimal"/>
      <w:lvlText w:val="%1."/>
      <w:lvlJc w:val="left"/>
      <w:pPr>
        <w:ind w:left="899" w:hanging="360"/>
      </w:pPr>
      <w:rPr>
        <w:rFonts w:eastAsia="MS Mincho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1C7724DA"/>
    <w:multiLevelType w:val="hybridMultilevel"/>
    <w:tmpl w:val="5B16B36E"/>
    <w:lvl w:ilvl="0" w:tplc="ABA43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00721"/>
    <w:multiLevelType w:val="hybridMultilevel"/>
    <w:tmpl w:val="5130165C"/>
    <w:lvl w:ilvl="0" w:tplc="BAAA9A12">
      <w:start w:val="1"/>
      <w:numFmt w:val="decimal"/>
      <w:lvlText w:val="%1."/>
      <w:lvlJc w:val="left"/>
      <w:pPr>
        <w:ind w:left="3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 w15:restartNumberingAfterBreak="0">
    <w:nsid w:val="234E17E5"/>
    <w:multiLevelType w:val="hybridMultilevel"/>
    <w:tmpl w:val="B822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E5FC0"/>
    <w:multiLevelType w:val="hybridMultilevel"/>
    <w:tmpl w:val="B3B811B4"/>
    <w:lvl w:ilvl="0" w:tplc="B074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1E76ED"/>
    <w:multiLevelType w:val="hybridMultilevel"/>
    <w:tmpl w:val="6A5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34E0"/>
    <w:multiLevelType w:val="hybridMultilevel"/>
    <w:tmpl w:val="7774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652EF"/>
    <w:multiLevelType w:val="hybridMultilevel"/>
    <w:tmpl w:val="CA769D9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28DD66EB"/>
    <w:multiLevelType w:val="hybridMultilevel"/>
    <w:tmpl w:val="99F2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680"/>
    <w:multiLevelType w:val="hybridMultilevel"/>
    <w:tmpl w:val="1D12AD4E"/>
    <w:lvl w:ilvl="0" w:tplc="132CF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2697"/>
    <w:multiLevelType w:val="hybridMultilevel"/>
    <w:tmpl w:val="1B38A564"/>
    <w:lvl w:ilvl="0" w:tplc="6934547E">
      <w:start w:val="12"/>
      <w:numFmt w:val="decimal"/>
      <w:lvlText w:val="%1."/>
      <w:lvlJc w:val="left"/>
      <w:pPr>
        <w:ind w:left="28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2E0F3C87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339E6384"/>
    <w:multiLevelType w:val="hybridMultilevel"/>
    <w:tmpl w:val="F136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26D45"/>
    <w:multiLevelType w:val="hybridMultilevel"/>
    <w:tmpl w:val="ED20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31C33"/>
    <w:multiLevelType w:val="hybridMultilevel"/>
    <w:tmpl w:val="899226E2"/>
    <w:lvl w:ilvl="0" w:tplc="97C620F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C43AA"/>
    <w:multiLevelType w:val="multilevel"/>
    <w:tmpl w:val="72E2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85"/>
        </w:tabs>
        <w:ind w:left="1785" w:hanging="1185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1185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185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5"/>
        </w:tabs>
        <w:ind w:left="2505" w:hanging="1185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40"/>
        </w:tabs>
        <w:ind w:left="384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2160"/>
      </w:pPr>
      <w:rPr>
        <w:rFonts w:eastAsia="MS Mincho" w:hint="default"/>
      </w:rPr>
    </w:lvl>
  </w:abstractNum>
  <w:abstractNum w:abstractNumId="23" w15:restartNumberingAfterBreak="0">
    <w:nsid w:val="3F0B577F"/>
    <w:multiLevelType w:val="hybridMultilevel"/>
    <w:tmpl w:val="ABE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2E6"/>
    <w:multiLevelType w:val="hybridMultilevel"/>
    <w:tmpl w:val="2A40221C"/>
    <w:lvl w:ilvl="0" w:tplc="3F02B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A2572B"/>
    <w:multiLevelType w:val="hybridMultilevel"/>
    <w:tmpl w:val="3F445DAA"/>
    <w:lvl w:ilvl="0" w:tplc="C14E8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5256D"/>
    <w:multiLevelType w:val="hybridMultilevel"/>
    <w:tmpl w:val="3FDE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B6A58"/>
    <w:multiLevelType w:val="hybridMultilevel"/>
    <w:tmpl w:val="2A40221C"/>
    <w:lvl w:ilvl="0" w:tplc="3F02B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63DD6"/>
    <w:multiLevelType w:val="hybridMultilevel"/>
    <w:tmpl w:val="B96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05EFD"/>
    <w:multiLevelType w:val="hybridMultilevel"/>
    <w:tmpl w:val="1D362B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317B4"/>
    <w:multiLevelType w:val="hybridMultilevel"/>
    <w:tmpl w:val="94EC89DC"/>
    <w:lvl w:ilvl="0" w:tplc="2248B022">
      <w:start w:val="1"/>
      <w:numFmt w:val="decimal"/>
      <w:lvlText w:val="%1."/>
      <w:lvlJc w:val="left"/>
      <w:pPr>
        <w:ind w:left="3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1" w15:restartNumberingAfterBreak="0">
    <w:nsid w:val="59EF0144"/>
    <w:multiLevelType w:val="multilevel"/>
    <w:tmpl w:val="B22A6E04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2" w15:restartNumberingAfterBreak="0">
    <w:nsid w:val="5F1B4AE5"/>
    <w:multiLevelType w:val="hybridMultilevel"/>
    <w:tmpl w:val="15FA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05B35"/>
    <w:multiLevelType w:val="hybridMultilevel"/>
    <w:tmpl w:val="E9DC63B6"/>
    <w:lvl w:ilvl="0" w:tplc="3B8E0E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4" w15:restartNumberingAfterBreak="0">
    <w:nsid w:val="64B1202B"/>
    <w:multiLevelType w:val="hybridMultilevel"/>
    <w:tmpl w:val="24508256"/>
    <w:lvl w:ilvl="0" w:tplc="39F86D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5" w15:restartNumberingAfterBreak="0">
    <w:nsid w:val="65B106C2"/>
    <w:multiLevelType w:val="hybridMultilevel"/>
    <w:tmpl w:val="CA525324"/>
    <w:lvl w:ilvl="0" w:tplc="0A48C7C8">
      <w:start w:val="1"/>
      <w:numFmt w:val="decimal"/>
      <w:lvlText w:val="%1."/>
      <w:lvlJc w:val="left"/>
      <w:pPr>
        <w:ind w:left="899" w:hanging="360"/>
      </w:pPr>
      <w:rPr>
        <w:rFonts w:eastAsia="MS Mincho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41322"/>
    <w:multiLevelType w:val="hybridMultilevel"/>
    <w:tmpl w:val="5F20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D065D"/>
    <w:multiLevelType w:val="hybridMultilevel"/>
    <w:tmpl w:val="C8B0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6E88"/>
    <w:multiLevelType w:val="multilevel"/>
    <w:tmpl w:val="2640A8B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356BB6"/>
    <w:multiLevelType w:val="hybridMultilevel"/>
    <w:tmpl w:val="FE6C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D0AD7"/>
    <w:multiLevelType w:val="hybridMultilevel"/>
    <w:tmpl w:val="3592AB60"/>
    <w:lvl w:ilvl="0" w:tplc="5072B946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B4667"/>
    <w:multiLevelType w:val="hybridMultilevel"/>
    <w:tmpl w:val="860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E52B4"/>
    <w:multiLevelType w:val="hybridMultilevel"/>
    <w:tmpl w:val="2448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86E"/>
    <w:multiLevelType w:val="hybridMultilevel"/>
    <w:tmpl w:val="66B6D0B4"/>
    <w:lvl w:ilvl="0" w:tplc="D6B8E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5AD4CA7"/>
    <w:multiLevelType w:val="hybridMultilevel"/>
    <w:tmpl w:val="E0EE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796B12"/>
    <w:multiLevelType w:val="hybridMultilevel"/>
    <w:tmpl w:val="A67C7BB0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B3B86"/>
    <w:multiLevelType w:val="hybridMultilevel"/>
    <w:tmpl w:val="6A38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313C9F"/>
    <w:multiLevelType w:val="hybridMultilevel"/>
    <w:tmpl w:val="27B0F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C6921"/>
    <w:multiLevelType w:val="hybridMultilevel"/>
    <w:tmpl w:val="FE6C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9416">
    <w:abstractNumId w:val="47"/>
  </w:num>
  <w:num w:numId="2" w16cid:durableId="37432689">
    <w:abstractNumId w:val="44"/>
  </w:num>
  <w:num w:numId="3" w16cid:durableId="55709881">
    <w:abstractNumId w:val="26"/>
  </w:num>
  <w:num w:numId="4" w16cid:durableId="1012952981">
    <w:abstractNumId w:val="2"/>
  </w:num>
  <w:num w:numId="5" w16cid:durableId="2052029696">
    <w:abstractNumId w:val="41"/>
  </w:num>
  <w:num w:numId="6" w16cid:durableId="1249459215">
    <w:abstractNumId w:val="46"/>
  </w:num>
  <w:num w:numId="7" w16cid:durableId="1329673221">
    <w:abstractNumId w:val="22"/>
  </w:num>
  <w:num w:numId="8" w16cid:durableId="1449205156">
    <w:abstractNumId w:val="32"/>
  </w:num>
  <w:num w:numId="9" w16cid:durableId="1610116982">
    <w:abstractNumId w:val="30"/>
  </w:num>
  <w:num w:numId="10" w16cid:durableId="1202865254">
    <w:abstractNumId w:val="36"/>
  </w:num>
  <w:num w:numId="11" w16cid:durableId="1291085415">
    <w:abstractNumId w:val="0"/>
  </w:num>
  <w:num w:numId="12" w16cid:durableId="1289236881">
    <w:abstractNumId w:val="33"/>
  </w:num>
  <w:num w:numId="13" w16cid:durableId="1278100994">
    <w:abstractNumId w:val="34"/>
  </w:num>
  <w:num w:numId="14" w16cid:durableId="2130707900">
    <w:abstractNumId w:val="1"/>
  </w:num>
  <w:num w:numId="15" w16cid:durableId="623539675">
    <w:abstractNumId w:val="39"/>
  </w:num>
  <w:num w:numId="16" w16cid:durableId="494494907">
    <w:abstractNumId w:val="24"/>
  </w:num>
  <w:num w:numId="17" w16cid:durableId="690567810">
    <w:abstractNumId w:val="25"/>
  </w:num>
  <w:num w:numId="18" w16cid:durableId="1575512515">
    <w:abstractNumId w:val="28"/>
  </w:num>
  <w:num w:numId="19" w16cid:durableId="591401221">
    <w:abstractNumId w:val="3"/>
  </w:num>
  <w:num w:numId="20" w16cid:durableId="458719178">
    <w:abstractNumId w:val="16"/>
  </w:num>
  <w:num w:numId="21" w16cid:durableId="768892917">
    <w:abstractNumId w:val="19"/>
  </w:num>
  <w:num w:numId="22" w16cid:durableId="251789564">
    <w:abstractNumId w:val="37"/>
  </w:num>
  <w:num w:numId="23" w16cid:durableId="2006856814">
    <w:abstractNumId w:val="13"/>
  </w:num>
  <w:num w:numId="24" w16cid:durableId="420951933">
    <w:abstractNumId w:val="21"/>
  </w:num>
  <w:num w:numId="25" w16cid:durableId="23871379">
    <w:abstractNumId w:val="48"/>
  </w:num>
  <w:num w:numId="26" w16cid:durableId="895555787">
    <w:abstractNumId w:val="27"/>
  </w:num>
  <w:num w:numId="27" w16cid:durableId="1281230564">
    <w:abstractNumId w:val="29"/>
  </w:num>
  <w:num w:numId="28" w16cid:durableId="2127191045">
    <w:abstractNumId w:val="20"/>
  </w:num>
  <w:num w:numId="29" w16cid:durableId="85275309">
    <w:abstractNumId w:val="9"/>
  </w:num>
  <w:num w:numId="30" w16cid:durableId="1449080504">
    <w:abstractNumId w:val="40"/>
  </w:num>
  <w:num w:numId="31" w16cid:durableId="1918593941">
    <w:abstractNumId w:val="5"/>
  </w:num>
  <w:num w:numId="32" w16cid:durableId="243534661">
    <w:abstractNumId w:val="17"/>
  </w:num>
  <w:num w:numId="33" w16cid:durableId="167672195">
    <w:abstractNumId w:val="7"/>
  </w:num>
  <w:num w:numId="34" w16cid:durableId="1596208134">
    <w:abstractNumId w:val="35"/>
  </w:num>
  <w:num w:numId="35" w16cid:durableId="126556335">
    <w:abstractNumId w:val="45"/>
  </w:num>
  <w:num w:numId="36" w16cid:durableId="687414055">
    <w:abstractNumId w:val="11"/>
  </w:num>
  <w:num w:numId="37" w16cid:durableId="1533223110">
    <w:abstractNumId w:val="8"/>
  </w:num>
  <w:num w:numId="38" w16cid:durableId="15426961">
    <w:abstractNumId w:val="43"/>
  </w:num>
  <w:num w:numId="39" w16cid:durableId="767697776">
    <w:abstractNumId w:val="10"/>
  </w:num>
  <w:num w:numId="40" w16cid:durableId="1167742202">
    <w:abstractNumId w:val="18"/>
    <w:lvlOverride w:ilvl="0"/>
  </w:num>
  <w:num w:numId="41" w16cid:durableId="966200284">
    <w:abstractNumId w:val="31"/>
  </w:num>
  <w:num w:numId="42" w16cid:durableId="965232666">
    <w:abstractNumId w:val="38"/>
  </w:num>
  <w:num w:numId="43" w16cid:durableId="1123110290">
    <w:abstractNumId w:val="12"/>
  </w:num>
  <w:num w:numId="44" w16cid:durableId="725103297">
    <w:abstractNumId w:val="15"/>
  </w:num>
  <w:num w:numId="45" w16cid:durableId="1680572305">
    <w:abstractNumId w:val="14"/>
  </w:num>
  <w:num w:numId="46" w16cid:durableId="780219923">
    <w:abstractNumId w:val="23"/>
  </w:num>
  <w:num w:numId="47" w16cid:durableId="1175454963">
    <w:abstractNumId w:val="6"/>
  </w:num>
  <w:num w:numId="48" w16cid:durableId="27462181">
    <w:abstractNumId w:val="4"/>
  </w:num>
  <w:num w:numId="49" w16cid:durableId="178672938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55"/>
    <w:rsid w:val="00024B31"/>
    <w:rsid w:val="00264E55"/>
    <w:rsid w:val="003A7DB3"/>
    <w:rsid w:val="00452939"/>
    <w:rsid w:val="005D79FD"/>
    <w:rsid w:val="005E66C6"/>
    <w:rsid w:val="00714A7C"/>
    <w:rsid w:val="00835369"/>
    <w:rsid w:val="00C81E42"/>
    <w:rsid w:val="00D438C9"/>
    <w:rsid w:val="00DD577D"/>
    <w:rsid w:val="00F30A9B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71E0"/>
  <w15:chartTrackingRefBased/>
  <w15:docId w15:val="{BC53288E-CFAE-41EE-8C69-64B4AFEA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66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5E66C6"/>
    <w:pPr>
      <w:keepNext/>
      <w:outlineLvl w:val="1"/>
    </w:pPr>
    <w:rPr>
      <w:sz w:val="24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E66C6"/>
    <w:pPr>
      <w:keepNext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qFormat/>
    <w:rsid w:val="005E66C6"/>
    <w:pPr>
      <w:keepNext/>
      <w:outlineLvl w:val="3"/>
    </w:pPr>
    <w:rPr>
      <w:b/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5E66C6"/>
    <w:pPr>
      <w:keepNext/>
      <w:jc w:val="right"/>
      <w:outlineLvl w:val="4"/>
    </w:pPr>
    <w:rPr>
      <w:b/>
      <w:lang w:val="x-none"/>
    </w:rPr>
  </w:style>
  <w:style w:type="paragraph" w:styleId="Heading6">
    <w:name w:val="heading 6"/>
    <w:basedOn w:val="Normal"/>
    <w:next w:val="Normal"/>
    <w:link w:val="Heading6Char"/>
    <w:qFormat/>
    <w:rsid w:val="005E66C6"/>
    <w:pPr>
      <w:keepNext/>
      <w:jc w:val="right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E66C6"/>
    <w:pPr>
      <w:keepNext/>
      <w:jc w:val="center"/>
      <w:outlineLvl w:val="6"/>
    </w:pPr>
    <w:rPr>
      <w:bCs/>
      <w:i/>
      <w:lang w:val="x-none"/>
    </w:rPr>
  </w:style>
  <w:style w:type="paragraph" w:styleId="Heading8">
    <w:name w:val="heading 8"/>
    <w:basedOn w:val="Normal"/>
    <w:next w:val="Normal"/>
    <w:link w:val="Heading8Char"/>
    <w:qFormat/>
    <w:rsid w:val="005E66C6"/>
    <w:pPr>
      <w:keepNext/>
      <w:jc w:val="center"/>
      <w:outlineLvl w:val="7"/>
    </w:pPr>
    <w:rPr>
      <w:bCs/>
      <w:u w:val="single"/>
      <w:lang w:val="x-none"/>
    </w:rPr>
  </w:style>
  <w:style w:type="paragraph" w:styleId="Heading9">
    <w:name w:val="heading 9"/>
    <w:basedOn w:val="Normal"/>
    <w:next w:val="Normal"/>
    <w:link w:val="Heading9Char"/>
    <w:qFormat/>
    <w:rsid w:val="005E66C6"/>
    <w:pPr>
      <w:keepNext/>
      <w:outlineLvl w:val="8"/>
    </w:pPr>
    <w:rPr>
      <w:b/>
      <w:bCs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0A9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30A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a7">
    <w:name w:val="Pa7"/>
    <w:basedOn w:val="Normal"/>
    <w:next w:val="Normal"/>
    <w:uiPriority w:val="99"/>
    <w:rsid w:val="00F30A9B"/>
    <w:pPr>
      <w:autoSpaceDE w:val="0"/>
      <w:autoSpaceDN w:val="0"/>
      <w:adjustRightInd w:val="0"/>
      <w:spacing w:line="161" w:lineRule="atLeast"/>
    </w:pPr>
    <w:rPr>
      <w:rFonts w:ascii="PragmaticaC" w:eastAsia="Calibri" w:hAnsi="PragmaticaC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A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30A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5E66C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basedOn w:val="DefaultParagraphFont"/>
    <w:link w:val="Heading2"/>
    <w:rsid w:val="005E66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rsid w:val="005E66C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Heading4Char">
    <w:name w:val="Heading 4 Char"/>
    <w:basedOn w:val="DefaultParagraphFont"/>
    <w:link w:val="Heading4"/>
    <w:rsid w:val="005E66C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rsid w:val="005E66C6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Heading6Char">
    <w:name w:val="Heading 6 Char"/>
    <w:basedOn w:val="DefaultParagraphFont"/>
    <w:link w:val="Heading6"/>
    <w:rsid w:val="005E66C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5E66C6"/>
    <w:rPr>
      <w:rFonts w:ascii="Times New Roman" w:eastAsia="Times New Roman" w:hAnsi="Times New Roman" w:cs="Times New Roman"/>
      <w:bCs/>
      <w:i/>
      <w:sz w:val="28"/>
      <w:szCs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rsid w:val="005E66C6"/>
    <w:rPr>
      <w:rFonts w:ascii="Times New Roman" w:eastAsia="Times New Roman" w:hAnsi="Times New Roman" w:cs="Times New Roman"/>
      <w:bCs/>
      <w:sz w:val="28"/>
      <w:szCs w:val="24"/>
      <w:u w:val="single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5E66C6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ru-RU"/>
    </w:rPr>
  </w:style>
  <w:style w:type="paragraph" w:styleId="BlockText">
    <w:name w:val="Block Text"/>
    <w:basedOn w:val="Normal"/>
    <w:rsid w:val="005E66C6"/>
    <w:pPr>
      <w:tabs>
        <w:tab w:val="left" w:pos="1620"/>
        <w:tab w:val="left" w:pos="8460"/>
      </w:tabs>
      <w:ind w:left="1620" w:right="894" w:hanging="24"/>
      <w:jc w:val="both"/>
    </w:pPr>
    <w:rPr>
      <w:b/>
      <w:szCs w:val="20"/>
    </w:rPr>
  </w:style>
  <w:style w:type="paragraph" w:styleId="PlainText">
    <w:name w:val="Plain Text"/>
    <w:basedOn w:val="Normal"/>
    <w:link w:val="PlainTextChar"/>
    <w:rsid w:val="005E66C6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5E66C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5E66C6"/>
    <w:pPr>
      <w:ind w:firstLine="692"/>
      <w:jc w:val="both"/>
    </w:pPr>
    <w:rPr>
      <w:b/>
      <w:sz w:val="24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5E66C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BodyTextIndent3">
    <w:name w:val="Body Text Indent 3"/>
    <w:basedOn w:val="Normal"/>
    <w:link w:val="BodyTextIndent3Char"/>
    <w:rsid w:val="005E66C6"/>
    <w:pPr>
      <w:ind w:left="835"/>
      <w:jc w:val="both"/>
    </w:pPr>
    <w:rPr>
      <w:b/>
      <w:szCs w:val="20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5E66C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BodyText2">
    <w:name w:val="Body Text 2"/>
    <w:basedOn w:val="Normal"/>
    <w:link w:val="BodyText2Char"/>
    <w:rsid w:val="005E66C6"/>
    <w:pPr>
      <w:jc w:val="both"/>
    </w:pPr>
    <w:rPr>
      <w:b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5E66C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PageNumber">
    <w:name w:val="page number"/>
    <w:basedOn w:val="DefaultParagraphFont"/>
    <w:rsid w:val="005E66C6"/>
  </w:style>
  <w:style w:type="paragraph" w:styleId="BodyText3">
    <w:name w:val="Body Text 3"/>
    <w:basedOn w:val="Normal"/>
    <w:link w:val="BodyText3Char"/>
    <w:rsid w:val="005E66C6"/>
    <w:rPr>
      <w:b/>
      <w:lang w:val="x-none"/>
    </w:rPr>
  </w:style>
  <w:style w:type="character" w:customStyle="1" w:styleId="BodyText3Char">
    <w:name w:val="Body Text 3 Char"/>
    <w:basedOn w:val="DefaultParagraphFont"/>
    <w:link w:val="BodyText3"/>
    <w:rsid w:val="005E66C6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BodyTextIndent">
    <w:name w:val="Body Text Indent"/>
    <w:basedOn w:val="Normal"/>
    <w:link w:val="BodyTextIndentChar"/>
    <w:rsid w:val="005E66C6"/>
    <w:pPr>
      <w:ind w:firstLine="738"/>
      <w:jc w:val="both"/>
    </w:pPr>
    <w:rPr>
      <w:b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E66C6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Caption">
    <w:name w:val="caption"/>
    <w:basedOn w:val="Normal"/>
    <w:next w:val="Normal"/>
    <w:qFormat/>
    <w:rsid w:val="005E66C6"/>
    <w:rPr>
      <w:b/>
    </w:rPr>
  </w:style>
  <w:style w:type="paragraph" w:styleId="Footer">
    <w:name w:val="footer"/>
    <w:basedOn w:val="Normal"/>
    <w:link w:val="FooterChar"/>
    <w:uiPriority w:val="99"/>
    <w:rsid w:val="005E66C6"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E66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link w:val="BalloonText"/>
    <w:semiHidden/>
    <w:rsid w:val="005E66C6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5E66C6"/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E66C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">
    <w:name w:val="Текст выноски Знак1"/>
    <w:uiPriority w:val="99"/>
    <w:semiHidden/>
    <w:rsid w:val="005E66C6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5E66C6"/>
    <w:rPr>
      <w:kern w:val="28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E66C6"/>
    <w:rPr>
      <w:rFonts w:ascii="Times New Roman" w:eastAsia="Times New Roman" w:hAnsi="Times New Roman" w:cs="Times New Roman"/>
      <w:kern w:val="28"/>
      <w:sz w:val="20"/>
      <w:szCs w:val="20"/>
      <w:lang w:val="x-none" w:eastAsia="ru-RU"/>
    </w:rPr>
  </w:style>
  <w:style w:type="character" w:styleId="Hyperlink">
    <w:name w:val="Hyperlink"/>
    <w:rsid w:val="005E66C6"/>
    <w:rPr>
      <w:color w:val="0000FF"/>
      <w:u w:val="single"/>
    </w:rPr>
  </w:style>
  <w:style w:type="character" w:styleId="FollowedHyperlink">
    <w:name w:val="FollowedHyperlink"/>
    <w:rsid w:val="005E66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66C6"/>
    <w:pPr>
      <w:ind w:left="708"/>
    </w:pPr>
    <w:rPr>
      <w:sz w:val="24"/>
    </w:rPr>
  </w:style>
  <w:style w:type="paragraph" w:customStyle="1" w:styleId="10">
    <w:name w:val="Цитата1"/>
    <w:basedOn w:val="Normal"/>
    <w:rsid w:val="005E66C6"/>
    <w:pPr>
      <w:ind w:left="-567" w:right="-1050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Normal"/>
    <w:rsid w:val="005E66C6"/>
    <w:pPr>
      <w:ind w:right="-1092"/>
      <w:jc w:val="both"/>
    </w:pPr>
    <w:rPr>
      <w:szCs w:val="28"/>
      <w:lang w:eastAsia="ar-SA"/>
    </w:rPr>
  </w:style>
  <w:style w:type="paragraph" w:customStyle="1" w:styleId="ListParagraph1">
    <w:name w:val="List Paragraph1"/>
    <w:basedOn w:val="Normal"/>
    <w:rsid w:val="005E66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qFormat/>
    <w:rsid w:val="005E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5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Основной текст_"/>
    <w:link w:val="6"/>
    <w:rsid w:val="005E66C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5E66C6"/>
    <w:pPr>
      <w:shd w:val="clear" w:color="auto" w:fill="FFFFFF"/>
      <w:spacing w:after="2220" w:line="178" w:lineRule="exact"/>
      <w:jc w:val="both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ListParagraph2">
    <w:name w:val="List Paragraph2"/>
    <w:basedOn w:val="Normal"/>
    <w:rsid w:val="005E66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5E66C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5E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6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6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3137</Words>
  <Characters>18197</Characters>
  <Application>Microsoft Office Word</Application>
  <DocSecurity>0</DocSecurity>
  <Lines>151</Lines>
  <Paragraphs>42</Paragraphs>
  <ScaleCrop>false</ScaleCrop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Jegor Sinjov</dc:creator>
  <cp:keywords/>
  <dc:description/>
  <cp:lastModifiedBy>Jegor Sinjov</cp:lastModifiedBy>
  <cp:revision>9</cp:revision>
  <dcterms:created xsi:type="dcterms:W3CDTF">2019-11-19T12:15:00Z</dcterms:created>
  <dcterms:modified xsi:type="dcterms:W3CDTF">2022-12-09T13:57:00Z</dcterms:modified>
</cp:coreProperties>
</file>